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AA40D6" w14:paraId="6963D3AE" w14:textId="77777777" w:rsidTr="00581307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66672766" w14:textId="77777777" w:rsidR="00AA40D6" w:rsidRDefault="00AA40D6" w:rsidP="00581307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1E5F680C" w14:textId="77777777" w:rsidR="00AA40D6" w:rsidRDefault="00AA40D6" w:rsidP="00581307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4D2765BB" w14:textId="77777777" w:rsidR="00AA40D6" w:rsidRDefault="00AA40D6" w:rsidP="00581307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7B769ACF" w14:textId="77777777" w:rsidR="00AA40D6" w:rsidRDefault="00AA40D6" w:rsidP="00581307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101DFC46" w14:textId="77777777" w:rsidR="00AA40D6" w:rsidRDefault="00AA40D6" w:rsidP="00581307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AA40D6" w14:paraId="050D5CE1" w14:textId="77777777" w:rsidTr="00581307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35BCBAA4" w14:textId="77777777" w:rsidR="00AA40D6" w:rsidRDefault="00AA40D6" w:rsidP="00581307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2450E5CB" w14:textId="77777777" w:rsidR="00AA40D6" w:rsidRPr="00D73415" w:rsidRDefault="00AA40D6" w:rsidP="00581307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4E8C69C6" w14:textId="77777777" w:rsidR="00AA40D6" w:rsidRPr="00D73415" w:rsidRDefault="00AA40D6" w:rsidP="00581307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7BC2A047" w14:textId="77777777" w:rsidR="00AA40D6" w:rsidRPr="00D73415" w:rsidRDefault="00AA40D6" w:rsidP="00581307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748BAB57" w14:textId="77777777" w:rsidR="00AA40D6" w:rsidRPr="00D73415" w:rsidRDefault="00AA40D6" w:rsidP="00581307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2D392A02" w14:textId="77777777" w:rsidR="00AA40D6" w:rsidRDefault="00AA40D6" w:rsidP="00581307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AA40D6" w14:paraId="70E28156" w14:textId="77777777" w:rsidTr="00581307">
        <w:trPr>
          <w:cantSplit/>
          <w:trHeight w:val="1830"/>
        </w:trPr>
        <w:tc>
          <w:tcPr>
            <w:tcW w:w="419" w:type="dxa"/>
          </w:tcPr>
          <w:p w14:paraId="6CB0E885" w14:textId="77777777" w:rsidR="00AA40D6" w:rsidRDefault="00AA40D6" w:rsidP="00581307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59D52CC7" w14:textId="77777777" w:rsidR="00AA40D6" w:rsidRDefault="00AA40D6" w:rsidP="00581307">
            <w:pPr>
              <w:ind w:left="-288" w:right="-108"/>
              <w:jc w:val="center"/>
              <w:rPr>
                <w:sz w:val="16"/>
              </w:rPr>
            </w:pPr>
          </w:p>
          <w:p w14:paraId="6223AEE0" w14:textId="77777777" w:rsidR="00AA40D6" w:rsidRDefault="00AA40D6" w:rsidP="00581307">
            <w:pPr>
              <w:ind w:left="-288" w:right="-108"/>
              <w:jc w:val="center"/>
              <w:rPr>
                <w:sz w:val="10"/>
              </w:rPr>
            </w:pPr>
          </w:p>
          <w:p w14:paraId="0DF8A663" w14:textId="77777777" w:rsidR="00AA40D6" w:rsidRDefault="00AA40D6" w:rsidP="00581307">
            <w:pPr>
              <w:ind w:left="-288" w:right="-108"/>
              <w:jc w:val="center"/>
              <w:rPr>
                <w:sz w:val="28"/>
              </w:rPr>
            </w:pPr>
          </w:p>
          <w:p w14:paraId="1713E3BB" w14:textId="77777777" w:rsidR="00AA40D6" w:rsidRDefault="00AA40D6" w:rsidP="00581307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71144683" w14:textId="77777777" w:rsidR="00AA40D6" w:rsidRDefault="00AA40D6" w:rsidP="00581307">
            <w:pPr>
              <w:ind w:left="-288" w:right="-108"/>
            </w:pPr>
          </w:p>
        </w:tc>
        <w:tc>
          <w:tcPr>
            <w:tcW w:w="458" w:type="dxa"/>
          </w:tcPr>
          <w:p w14:paraId="31E1F7AB" w14:textId="77777777" w:rsidR="00AA40D6" w:rsidRDefault="00AA40D6" w:rsidP="00581307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44E71A23" w14:textId="77777777" w:rsidR="00AA40D6" w:rsidRDefault="00AA40D6" w:rsidP="00581307">
            <w:pPr>
              <w:rPr>
                <w:sz w:val="28"/>
                <w:szCs w:val="28"/>
              </w:rPr>
            </w:pPr>
          </w:p>
        </w:tc>
      </w:tr>
      <w:tr w:rsidR="00AA40D6" w14:paraId="16C57E22" w14:textId="77777777" w:rsidTr="00581307">
        <w:trPr>
          <w:cantSplit/>
          <w:trHeight w:val="249"/>
        </w:trPr>
        <w:tc>
          <w:tcPr>
            <w:tcW w:w="4361" w:type="dxa"/>
            <w:gridSpan w:val="3"/>
          </w:tcPr>
          <w:p w14:paraId="3C88AB2A" w14:textId="77777777" w:rsidR="00AA40D6" w:rsidRDefault="00AA40D6" w:rsidP="00581307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621B4BE3" w14:textId="77777777" w:rsidR="00AA40D6" w:rsidRDefault="00AA40D6" w:rsidP="00581307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4C3B374E" w14:textId="77777777" w:rsidR="00AA40D6" w:rsidRDefault="00AA40D6" w:rsidP="00581307">
            <w:pPr>
              <w:rPr>
                <w:sz w:val="28"/>
                <w:szCs w:val="28"/>
              </w:rPr>
            </w:pPr>
          </w:p>
        </w:tc>
      </w:tr>
    </w:tbl>
    <w:p w14:paraId="3184AD2D" w14:textId="77777777" w:rsidR="00AA40D6" w:rsidRPr="000977A0" w:rsidRDefault="00AA40D6" w:rsidP="00AA40D6">
      <w:pPr>
        <w:jc w:val="both"/>
        <w:rPr>
          <w:sz w:val="16"/>
          <w:szCs w:val="16"/>
        </w:rPr>
      </w:pPr>
    </w:p>
    <w:p w14:paraId="49F4747C" w14:textId="77777777" w:rsidR="00AA40D6" w:rsidRDefault="00AA40D6" w:rsidP="00AA40D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2258A6B" w14:textId="77777777" w:rsidR="00AA40D6" w:rsidRDefault="00AA40D6" w:rsidP="00AA40D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53C0EC0" w14:textId="77777777" w:rsidR="00AA40D6" w:rsidRDefault="00AA40D6" w:rsidP="00AA40D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C0EBA75" w14:textId="77777777" w:rsidR="00AA40D6" w:rsidRDefault="00AA40D6" w:rsidP="00AA40D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C140B1F" w14:textId="77777777" w:rsidR="00AA40D6" w:rsidRDefault="00AA40D6" w:rsidP="00AA40D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7FB7E53" w14:textId="77777777" w:rsidR="00AA40D6" w:rsidRDefault="00AA40D6" w:rsidP="00AA40D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62A1CBB" w14:textId="77777777" w:rsidR="00AA40D6" w:rsidRDefault="00AA40D6" w:rsidP="00AA40D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89CFEF7" w14:textId="77777777" w:rsidR="00AA40D6" w:rsidRDefault="00AA40D6" w:rsidP="00AA40D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9EDF2B8" w14:textId="77777777" w:rsidR="00AA40D6" w:rsidRDefault="00AA40D6" w:rsidP="00AA40D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8853E09" w14:textId="77777777" w:rsidR="00AA40D6" w:rsidRPr="00B703EE" w:rsidRDefault="00AA40D6" w:rsidP="00AA40D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7AA993CA" w14:textId="77777777" w:rsidR="00AA40D6" w:rsidRPr="005A6FDD" w:rsidRDefault="00AA40D6" w:rsidP="00AA40D6">
      <w:pPr>
        <w:jc w:val="both"/>
        <w:rPr>
          <w:sz w:val="28"/>
          <w:szCs w:val="28"/>
        </w:rPr>
      </w:pPr>
    </w:p>
    <w:p w14:paraId="5697B93F" w14:textId="12C33035" w:rsidR="00AA40D6" w:rsidRDefault="00AA40D6" w:rsidP="00AA40D6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651D249D" w14:textId="2A128031" w:rsidR="00AA40D6" w:rsidRDefault="00AA40D6" w:rsidP="00AA40D6">
      <w:pPr>
        <w:jc w:val="center"/>
        <w:rPr>
          <w:b/>
          <w:bCs/>
          <w:sz w:val="28"/>
          <w:szCs w:val="28"/>
        </w:rPr>
      </w:pPr>
    </w:p>
    <w:p w14:paraId="22CC9385" w14:textId="16EED0C6" w:rsidR="00AA40D6" w:rsidRDefault="00AA40D6" w:rsidP="00AA40D6">
      <w:pPr>
        <w:jc w:val="center"/>
        <w:rPr>
          <w:b/>
          <w:bCs/>
          <w:sz w:val="28"/>
          <w:szCs w:val="28"/>
        </w:rPr>
      </w:pPr>
      <w:r w:rsidRPr="00AA40D6">
        <w:rPr>
          <w:b/>
          <w:bCs/>
          <w:sz w:val="28"/>
          <w:szCs w:val="28"/>
        </w:rPr>
        <w:t>Изменения порядка расчет платы за негативное воздействие на окружающую среду</w:t>
      </w:r>
    </w:p>
    <w:p w14:paraId="62CC01D6" w14:textId="476F5AA4" w:rsidR="00AA40D6" w:rsidRDefault="00AA40D6" w:rsidP="00AA40D6">
      <w:pPr>
        <w:jc w:val="center"/>
        <w:rPr>
          <w:b/>
          <w:bCs/>
          <w:sz w:val="28"/>
          <w:szCs w:val="28"/>
        </w:rPr>
      </w:pPr>
    </w:p>
    <w:p w14:paraId="2FD63DF7" w14:textId="77777777" w:rsidR="00AA40D6" w:rsidRPr="00AA40D6" w:rsidRDefault="00AA40D6" w:rsidP="00AA40D6">
      <w:pPr>
        <w:pStyle w:val="a3"/>
        <w:shd w:val="clear" w:color="auto" w:fill="FFFFFF"/>
        <w:spacing w:before="0" w:beforeAutospacing="0"/>
        <w:jc w:val="both"/>
        <w:rPr>
          <w:rFonts w:eastAsia="Calibri"/>
          <w:bCs/>
          <w:color w:val="000000"/>
          <w:sz w:val="28"/>
          <w:szCs w:val="28"/>
        </w:rPr>
      </w:pPr>
      <w:r w:rsidRPr="00AA40D6">
        <w:rPr>
          <w:rFonts w:eastAsia="Calibri"/>
          <w:bCs/>
          <w:color w:val="000000"/>
          <w:sz w:val="28"/>
          <w:szCs w:val="28"/>
        </w:rPr>
        <w:t>Постановлением Правительства Российской Федерации от 31.05.2023 № 881 установлен новый порядок расчета платы за негативное воздействие на окружающую среду.</w:t>
      </w:r>
    </w:p>
    <w:p w14:paraId="4914030C" w14:textId="57D150F5" w:rsidR="00AA40D6" w:rsidRPr="00AA40D6" w:rsidRDefault="00AA40D6" w:rsidP="00AA40D6">
      <w:pPr>
        <w:pStyle w:val="a3"/>
        <w:shd w:val="clear" w:color="auto" w:fill="FFFFFF"/>
        <w:spacing w:before="0" w:beforeAutospacing="0"/>
        <w:jc w:val="both"/>
        <w:rPr>
          <w:rFonts w:eastAsia="Calibri"/>
          <w:bCs/>
          <w:color w:val="000000"/>
          <w:sz w:val="28"/>
          <w:szCs w:val="28"/>
        </w:rPr>
      </w:pPr>
      <w:r w:rsidRPr="00AA40D6">
        <w:rPr>
          <w:rFonts w:eastAsia="Calibri"/>
          <w:bCs/>
          <w:color w:val="000000"/>
          <w:sz w:val="28"/>
          <w:szCs w:val="28"/>
        </w:rPr>
        <w:t xml:space="preserve">Необходимость утверждения нового Порядка возникла в связи с утверждением в 2022 году </w:t>
      </w:r>
      <w:r w:rsidRPr="00AA40D6">
        <w:rPr>
          <w:rFonts w:eastAsia="Calibri"/>
          <w:bCs/>
          <w:color w:val="000000"/>
          <w:sz w:val="28"/>
          <w:szCs w:val="28"/>
        </w:rPr>
        <w:t>новых видов отходов плата,</w:t>
      </w:r>
      <w:r w:rsidRPr="00AA40D6">
        <w:rPr>
          <w:rFonts w:eastAsia="Calibri"/>
          <w:bCs/>
          <w:color w:val="000000"/>
          <w:sz w:val="28"/>
          <w:szCs w:val="28"/>
        </w:rPr>
        <w:t xml:space="preserve"> за которые должна вноситься хозяйствующими субъектами.</w:t>
      </w:r>
    </w:p>
    <w:p w14:paraId="1FC5C6CB" w14:textId="77777777" w:rsidR="00AA40D6" w:rsidRPr="00AA40D6" w:rsidRDefault="00AA40D6" w:rsidP="00AA40D6">
      <w:pPr>
        <w:pStyle w:val="a3"/>
        <w:shd w:val="clear" w:color="auto" w:fill="FFFFFF"/>
        <w:spacing w:before="0" w:beforeAutospacing="0"/>
        <w:jc w:val="both"/>
        <w:rPr>
          <w:rFonts w:eastAsia="Calibri"/>
          <w:bCs/>
          <w:color w:val="000000"/>
          <w:sz w:val="28"/>
          <w:szCs w:val="28"/>
        </w:rPr>
      </w:pPr>
      <w:r w:rsidRPr="00AA40D6">
        <w:rPr>
          <w:rFonts w:eastAsia="Calibri"/>
          <w:bCs/>
          <w:color w:val="000000"/>
          <w:sz w:val="28"/>
          <w:szCs w:val="28"/>
        </w:rPr>
        <w:t>К таким видам относится, например, побочные продукты производства, признанные отходами в соответствии с </w:t>
      </w:r>
      <w:hyperlink r:id="rId4" w:tgtFrame="_top" w:history="1">
        <w:r w:rsidRPr="00AA40D6">
          <w:rPr>
            <w:rFonts w:eastAsia="Calibri"/>
            <w:bCs/>
            <w:color w:val="000000"/>
          </w:rPr>
          <w:t>п. 8 ст. 51.1 Федерального закона</w:t>
        </w:r>
      </w:hyperlink>
      <w:r w:rsidRPr="00AA40D6">
        <w:rPr>
          <w:rFonts w:eastAsia="Calibri"/>
          <w:bCs/>
          <w:color w:val="000000"/>
          <w:sz w:val="28"/>
          <w:szCs w:val="28"/>
        </w:rPr>
        <w:t xml:space="preserve"> от 10.01.2002 № 7-ФЗ "Об охране окружающей среды"; вскрышные и вмещающие горные породы, признанные отходами в соответствии со ст. 23.5 </w:t>
      </w:r>
      <w:r w:rsidRPr="00AA40D6">
        <w:rPr>
          <w:rFonts w:eastAsia="Calibri"/>
          <w:bCs/>
          <w:color w:val="000000"/>
          <w:sz w:val="28"/>
          <w:szCs w:val="28"/>
        </w:rPr>
        <w:lastRenderedPageBreak/>
        <w:t>Закона РФ от 21.02.1992 № 2395-1 "О недрах"; побочные продукты животноводства, признанные отходами в соответствии с </w:t>
      </w:r>
      <w:hyperlink r:id="rId5" w:tgtFrame="_top" w:history="1">
        <w:r w:rsidRPr="00AA40D6">
          <w:rPr>
            <w:rFonts w:eastAsia="Calibri"/>
            <w:bCs/>
            <w:color w:val="000000"/>
          </w:rPr>
          <w:t>ч. 6 ст. 5 Федерального закона</w:t>
        </w:r>
      </w:hyperlink>
      <w:r w:rsidRPr="00AA40D6">
        <w:rPr>
          <w:rFonts w:eastAsia="Calibri"/>
          <w:bCs/>
          <w:color w:val="000000"/>
          <w:sz w:val="28"/>
          <w:szCs w:val="28"/>
        </w:rPr>
        <w:t> от 14.07.2022 № 248-ФЗ "О побочных продуктах животноводства".</w:t>
      </w:r>
    </w:p>
    <w:p w14:paraId="01680EA6" w14:textId="77777777" w:rsidR="00AA40D6" w:rsidRPr="00AA40D6" w:rsidRDefault="00AA40D6" w:rsidP="00AA40D6">
      <w:pPr>
        <w:pStyle w:val="a3"/>
        <w:shd w:val="clear" w:color="auto" w:fill="FFFFFF"/>
        <w:spacing w:before="0" w:beforeAutospacing="0"/>
        <w:jc w:val="both"/>
        <w:rPr>
          <w:rFonts w:eastAsia="Calibri"/>
          <w:bCs/>
          <w:color w:val="000000"/>
          <w:sz w:val="28"/>
          <w:szCs w:val="28"/>
        </w:rPr>
      </w:pPr>
      <w:r w:rsidRPr="00AA40D6">
        <w:rPr>
          <w:rFonts w:eastAsia="Calibri"/>
          <w:bCs/>
          <w:color w:val="000000"/>
          <w:sz w:val="28"/>
          <w:szCs w:val="28"/>
        </w:rPr>
        <w:t>В связи с этим в Порядке предусмотрен перечень лиц, которые обязаны вносить плату за вновь утвержденные виды отходов.</w:t>
      </w:r>
    </w:p>
    <w:p w14:paraId="1006B2ED" w14:textId="77777777" w:rsidR="00AA40D6" w:rsidRPr="00AA40D6" w:rsidRDefault="00AA40D6" w:rsidP="00AA40D6">
      <w:pPr>
        <w:pStyle w:val="a3"/>
        <w:shd w:val="clear" w:color="auto" w:fill="FFFFFF"/>
        <w:spacing w:before="0" w:beforeAutospacing="0"/>
        <w:jc w:val="both"/>
        <w:rPr>
          <w:rFonts w:eastAsia="Calibri"/>
          <w:bCs/>
          <w:color w:val="000000"/>
          <w:sz w:val="28"/>
          <w:szCs w:val="28"/>
        </w:rPr>
      </w:pPr>
      <w:r w:rsidRPr="00AA40D6">
        <w:rPr>
          <w:rFonts w:eastAsia="Calibri"/>
          <w:bCs/>
          <w:color w:val="000000"/>
          <w:sz w:val="28"/>
          <w:szCs w:val="28"/>
        </w:rPr>
        <w:t>Порядком утверждены формулы, по которым рассчитывается плата за названные виды отходов.</w:t>
      </w:r>
    </w:p>
    <w:p w14:paraId="6C0ADF8D" w14:textId="168E2402" w:rsidR="00AA40D6" w:rsidRPr="00AA40D6" w:rsidRDefault="00AA40D6" w:rsidP="00AA40D6">
      <w:pPr>
        <w:pStyle w:val="a3"/>
        <w:shd w:val="clear" w:color="auto" w:fill="FFFFFF"/>
        <w:spacing w:before="0" w:beforeAutospacing="0"/>
        <w:jc w:val="both"/>
        <w:rPr>
          <w:rFonts w:eastAsia="Calibri"/>
          <w:bCs/>
          <w:color w:val="000000"/>
          <w:sz w:val="28"/>
          <w:szCs w:val="28"/>
        </w:rPr>
      </w:pPr>
      <w:r w:rsidRPr="00AA40D6">
        <w:rPr>
          <w:rFonts w:eastAsia="Calibri"/>
          <w:bCs/>
          <w:color w:val="000000"/>
          <w:sz w:val="28"/>
          <w:szCs w:val="28"/>
        </w:rPr>
        <w:t>Кроме того</w:t>
      </w:r>
      <w:r w:rsidRPr="00AA40D6">
        <w:rPr>
          <w:rFonts w:eastAsia="Calibri"/>
          <w:bCs/>
          <w:color w:val="000000"/>
          <w:sz w:val="28"/>
          <w:szCs w:val="28"/>
        </w:rPr>
        <w:t xml:space="preserve">, </w:t>
      </w:r>
      <w:r>
        <w:rPr>
          <w:rFonts w:eastAsia="Calibri"/>
          <w:bCs/>
          <w:color w:val="000000"/>
          <w:sz w:val="28"/>
          <w:szCs w:val="28"/>
        </w:rPr>
        <w:t>П</w:t>
      </w:r>
      <w:r w:rsidRPr="00AA40D6">
        <w:rPr>
          <w:rFonts w:eastAsia="Calibri"/>
          <w:bCs/>
          <w:color w:val="000000"/>
          <w:sz w:val="28"/>
          <w:szCs w:val="28"/>
        </w:rPr>
        <w:t>орядком</w:t>
      </w:r>
      <w:r w:rsidRPr="00AA40D6">
        <w:rPr>
          <w:rFonts w:eastAsia="Calibri"/>
          <w:bCs/>
          <w:color w:val="000000"/>
          <w:sz w:val="28"/>
          <w:szCs w:val="28"/>
        </w:rPr>
        <w:t xml:space="preserve"> утверждено положение о расчете платы, в случаях, когда в течение года категория, присвоенная объекту, оказывающему негативное воздействие на окружающую среду, была изменена.</w:t>
      </w:r>
    </w:p>
    <w:p w14:paraId="782F0510" w14:textId="77777777" w:rsidR="00AA40D6" w:rsidRPr="00AA40D6" w:rsidRDefault="00AA40D6" w:rsidP="00AA40D6">
      <w:pPr>
        <w:pStyle w:val="a3"/>
        <w:shd w:val="clear" w:color="auto" w:fill="FFFFFF"/>
        <w:spacing w:before="0" w:beforeAutospacing="0"/>
        <w:jc w:val="both"/>
        <w:rPr>
          <w:rFonts w:eastAsia="Calibri"/>
          <w:bCs/>
          <w:color w:val="000000"/>
          <w:sz w:val="28"/>
          <w:szCs w:val="28"/>
        </w:rPr>
      </w:pPr>
      <w:r w:rsidRPr="00AA40D6">
        <w:rPr>
          <w:rFonts w:eastAsia="Calibri"/>
          <w:bCs/>
          <w:color w:val="000000"/>
          <w:sz w:val="28"/>
          <w:szCs w:val="28"/>
        </w:rPr>
        <w:t>Так, если категория изменилась со II или III на I категорию, то после даты изменения категории и до даты получения новой разрешительной документации на выбросы, сбросы загрязняющих веществ или размещение отходов (но не более 9 месяцев с даты изменения категории объекта) плату за НВОС нужно рассчитывать на основании прежней разрешительной документации (т. е. выданной до даты изменения категории).</w:t>
      </w:r>
    </w:p>
    <w:p w14:paraId="3EE24181" w14:textId="77777777" w:rsidR="00AA40D6" w:rsidRPr="00AA40D6" w:rsidRDefault="00AA40D6" w:rsidP="00AA40D6">
      <w:pPr>
        <w:pStyle w:val="a3"/>
        <w:shd w:val="clear" w:color="auto" w:fill="FFFFFF"/>
        <w:spacing w:before="0" w:beforeAutospacing="0"/>
        <w:jc w:val="both"/>
        <w:rPr>
          <w:rFonts w:eastAsia="Calibri"/>
          <w:bCs/>
          <w:color w:val="000000"/>
          <w:sz w:val="28"/>
          <w:szCs w:val="28"/>
        </w:rPr>
      </w:pPr>
      <w:r w:rsidRPr="00AA40D6">
        <w:rPr>
          <w:rFonts w:eastAsia="Calibri"/>
          <w:bCs/>
          <w:color w:val="000000"/>
          <w:sz w:val="28"/>
          <w:szCs w:val="28"/>
        </w:rPr>
        <w:t>Если категория изменилась с III на II категорию, то плату нужно рассчитывается следующим образом:</w:t>
      </w:r>
    </w:p>
    <w:p w14:paraId="08F7D419" w14:textId="77777777" w:rsidR="00AA40D6" w:rsidRPr="00AA40D6" w:rsidRDefault="00AA40D6" w:rsidP="00AA40D6">
      <w:pPr>
        <w:pStyle w:val="a3"/>
        <w:shd w:val="clear" w:color="auto" w:fill="FFFFFF"/>
        <w:spacing w:before="0" w:beforeAutospacing="0"/>
        <w:jc w:val="both"/>
        <w:rPr>
          <w:rFonts w:eastAsia="Calibri"/>
          <w:bCs/>
          <w:color w:val="000000"/>
          <w:sz w:val="28"/>
          <w:szCs w:val="28"/>
        </w:rPr>
      </w:pPr>
      <w:r w:rsidRPr="00AA40D6">
        <w:rPr>
          <w:rFonts w:eastAsia="Calibri"/>
          <w:bCs/>
          <w:color w:val="000000"/>
          <w:sz w:val="28"/>
          <w:szCs w:val="28"/>
        </w:rPr>
        <w:t>до подачи декларации о плате за НВОС (но не более 3 месяцев с даты изменения категории) с учетом особенностей, предусмотренных для объектов III категории;</w:t>
      </w:r>
    </w:p>
    <w:p w14:paraId="26907B94" w14:textId="77777777" w:rsidR="00AA40D6" w:rsidRPr="00AA40D6" w:rsidRDefault="00AA40D6" w:rsidP="00AA40D6">
      <w:pPr>
        <w:pStyle w:val="a3"/>
        <w:shd w:val="clear" w:color="auto" w:fill="FFFFFF"/>
        <w:spacing w:before="0" w:beforeAutospacing="0"/>
        <w:jc w:val="both"/>
        <w:rPr>
          <w:rFonts w:eastAsia="Calibri"/>
          <w:bCs/>
          <w:color w:val="000000"/>
          <w:sz w:val="28"/>
          <w:szCs w:val="28"/>
        </w:rPr>
      </w:pPr>
      <w:r w:rsidRPr="00AA40D6">
        <w:rPr>
          <w:rFonts w:eastAsia="Calibri"/>
          <w:bCs/>
          <w:color w:val="000000"/>
          <w:sz w:val="28"/>
          <w:szCs w:val="28"/>
        </w:rPr>
        <w:t>после подачи декларации о плате за НВОС с учетом особенностей, предусмотренных для объектов II категории.</w:t>
      </w:r>
    </w:p>
    <w:p w14:paraId="15F50EA3" w14:textId="77777777" w:rsidR="00AA40D6" w:rsidRDefault="00AA40D6" w:rsidP="00AA40D6">
      <w:pPr>
        <w:jc w:val="center"/>
        <w:rPr>
          <w:b/>
          <w:bCs/>
          <w:sz w:val="28"/>
          <w:szCs w:val="28"/>
        </w:rPr>
      </w:pPr>
    </w:p>
    <w:p w14:paraId="15AA9250" w14:textId="77777777" w:rsidR="00AA40D6" w:rsidRPr="005923E7" w:rsidRDefault="00AA40D6" w:rsidP="00AA40D6">
      <w:pPr>
        <w:jc w:val="center"/>
        <w:rPr>
          <w:b/>
          <w:bCs/>
          <w:sz w:val="28"/>
          <w:szCs w:val="28"/>
        </w:rPr>
      </w:pPr>
    </w:p>
    <w:p w14:paraId="4BBBB42B" w14:textId="77777777" w:rsidR="00AA40D6" w:rsidRPr="00B972CC" w:rsidRDefault="00AA40D6" w:rsidP="00AA40D6">
      <w:pPr>
        <w:ind w:right="-1" w:firstLine="709"/>
        <w:jc w:val="both"/>
        <w:rPr>
          <w:bCs/>
          <w:color w:val="000000"/>
          <w:sz w:val="28"/>
          <w:szCs w:val="28"/>
        </w:rPr>
      </w:pPr>
    </w:p>
    <w:p w14:paraId="7AFBBCCB" w14:textId="77777777" w:rsidR="00AA40D6" w:rsidRPr="00B972CC" w:rsidRDefault="00AA40D6" w:rsidP="00AA40D6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 xml:space="preserve">Прокурор района </w:t>
      </w:r>
    </w:p>
    <w:p w14:paraId="2686BC85" w14:textId="77777777" w:rsidR="00AA40D6" w:rsidRPr="00B972CC" w:rsidRDefault="00AA40D6" w:rsidP="00AA40D6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19FB0F10" w14:textId="77777777" w:rsidR="00AA40D6" w:rsidRPr="00B972CC" w:rsidRDefault="00AA40D6" w:rsidP="00AA40D6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4F7D9CFF" w14:textId="77777777" w:rsidR="00AA40D6" w:rsidRPr="00B972CC" w:rsidRDefault="00AA40D6" w:rsidP="00AA40D6">
      <w:pPr>
        <w:rPr>
          <w:bCs/>
          <w:color w:val="000000"/>
          <w:sz w:val="28"/>
          <w:szCs w:val="28"/>
        </w:rPr>
      </w:pPr>
    </w:p>
    <w:p w14:paraId="20FCC7B8" w14:textId="77777777" w:rsidR="00AA40D6" w:rsidRPr="00B972CC" w:rsidRDefault="00AA40D6" w:rsidP="00AA40D6">
      <w:pPr>
        <w:rPr>
          <w:bCs/>
          <w:color w:val="000000"/>
          <w:sz w:val="28"/>
          <w:szCs w:val="28"/>
        </w:rPr>
      </w:pPr>
    </w:p>
    <w:p w14:paraId="1C869299" w14:textId="77777777" w:rsidR="00AA40D6" w:rsidRPr="00B972CC" w:rsidRDefault="00AA40D6" w:rsidP="00AA40D6">
      <w:pPr>
        <w:rPr>
          <w:bCs/>
          <w:color w:val="000000"/>
          <w:sz w:val="28"/>
          <w:szCs w:val="28"/>
        </w:rPr>
      </w:pPr>
    </w:p>
    <w:p w14:paraId="71B2A642" w14:textId="77777777" w:rsidR="00AA40D6" w:rsidRPr="00B972CC" w:rsidRDefault="00AA40D6" w:rsidP="00AA40D6">
      <w:pPr>
        <w:rPr>
          <w:bCs/>
          <w:color w:val="000000"/>
          <w:sz w:val="28"/>
          <w:szCs w:val="28"/>
        </w:rPr>
      </w:pPr>
    </w:p>
    <w:p w14:paraId="6DA13865" w14:textId="77777777" w:rsidR="00AA40D6" w:rsidRPr="00B972CC" w:rsidRDefault="00AA40D6" w:rsidP="00AA40D6">
      <w:pPr>
        <w:rPr>
          <w:bCs/>
          <w:color w:val="000000"/>
          <w:sz w:val="28"/>
          <w:szCs w:val="28"/>
        </w:rPr>
      </w:pPr>
    </w:p>
    <w:p w14:paraId="5CFD75CC" w14:textId="77777777" w:rsidR="00AA40D6" w:rsidRPr="00B972CC" w:rsidRDefault="00AA40D6" w:rsidP="00AA40D6">
      <w:pPr>
        <w:rPr>
          <w:bCs/>
          <w:color w:val="000000"/>
          <w:sz w:val="28"/>
          <w:szCs w:val="28"/>
        </w:rPr>
      </w:pPr>
    </w:p>
    <w:p w14:paraId="029CFDBD" w14:textId="77777777" w:rsidR="00AA40D6" w:rsidRDefault="00AA40D6" w:rsidP="00AA40D6">
      <w:pPr>
        <w:rPr>
          <w:sz w:val="18"/>
          <w:szCs w:val="18"/>
        </w:rPr>
      </w:pPr>
    </w:p>
    <w:p w14:paraId="5BBEDAFB" w14:textId="77777777" w:rsidR="00AA40D6" w:rsidRDefault="00AA40D6" w:rsidP="00AA40D6">
      <w:pPr>
        <w:rPr>
          <w:sz w:val="18"/>
          <w:szCs w:val="18"/>
        </w:rPr>
      </w:pPr>
    </w:p>
    <w:p w14:paraId="43E3A62E" w14:textId="77777777" w:rsidR="00AA40D6" w:rsidRDefault="00AA40D6" w:rsidP="00AA40D6">
      <w:pPr>
        <w:rPr>
          <w:sz w:val="18"/>
          <w:szCs w:val="18"/>
        </w:rPr>
      </w:pPr>
    </w:p>
    <w:p w14:paraId="5EBB4D72" w14:textId="77777777" w:rsidR="00AA40D6" w:rsidRDefault="00AA40D6" w:rsidP="00AA40D6">
      <w:pPr>
        <w:rPr>
          <w:sz w:val="18"/>
          <w:szCs w:val="18"/>
        </w:rPr>
      </w:pPr>
    </w:p>
    <w:p w14:paraId="5296ECD3" w14:textId="77777777" w:rsidR="00AA40D6" w:rsidRDefault="00AA40D6" w:rsidP="00AA40D6">
      <w:pPr>
        <w:rPr>
          <w:sz w:val="18"/>
          <w:szCs w:val="18"/>
        </w:rPr>
      </w:pPr>
    </w:p>
    <w:p w14:paraId="03082F66" w14:textId="77777777" w:rsidR="00AA40D6" w:rsidRDefault="00AA40D6" w:rsidP="00AA40D6">
      <w:pPr>
        <w:rPr>
          <w:sz w:val="18"/>
          <w:szCs w:val="18"/>
        </w:rPr>
      </w:pPr>
    </w:p>
    <w:p w14:paraId="6C0F203D" w14:textId="77777777" w:rsidR="00AA40D6" w:rsidRDefault="00AA40D6" w:rsidP="00AA40D6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0AF48DCD" w14:textId="77777777" w:rsidR="00AA40D6" w:rsidRDefault="00AA40D6"/>
    <w:sectPr w:rsidR="00AA40D6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D6"/>
    <w:rsid w:val="00AA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59C7"/>
  <w15:chartTrackingRefBased/>
  <w15:docId w15:val="{BD2F7C86-0A8B-4400-A182-79E00D66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0D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AA40D6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semiHidden/>
    <w:unhideWhenUsed/>
    <w:rsid w:val="00AA40D6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semiHidden/>
    <w:unhideWhenUsed/>
    <w:rsid w:val="00AA40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ts.1c.ru/db/garant/content/404891791/hdoc/56" TargetMode="External"/><Relationship Id="rId4" Type="http://schemas.openxmlformats.org/officeDocument/2006/relationships/hyperlink" Target="https://its.1c.ru/db/garant/content/12025350/hdoc/51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2024-02-12T14:26:00Z</dcterms:created>
  <dcterms:modified xsi:type="dcterms:W3CDTF">2024-02-12T14:29:00Z</dcterms:modified>
</cp:coreProperties>
</file>